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hint="eastAsia"/>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BD3E28">
        <w:rPr>
          <w:rFonts w:cs="Arial"/>
          <w:sz w:val="20"/>
        </w:rPr>
        <w:t>6</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bookmarkStart w:id="2" w:name="_GoBack"/>
      <w:bookmarkEnd w:id="2"/>
      <w:r w:rsidR="006E7E6F">
        <w:rPr>
          <w:rFonts w:eastAsia="宋体"/>
          <w:lang w:eastAsia="zh-CN"/>
        </w:rPr>
        <w:t xml:space="preserve">  </w:t>
      </w:r>
      <w:r w:rsidR="00AE16DB">
        <w:rPr>
          <w:rFonts w:eastAsia="宋体"/>
          <w:lang w:eastAsia="zh-CN"/>
        </w:rPr>
        <w:t xml:space="preserve"> </w:t>
      </w:r>
      <w:r w:rsidR="0046307A" w:rsidRPr="0046307A">
        <w:t>R4-2010819</w:t>
      </w:r>
    </w:p>
    <w:p w:rsidR="00675C27" w:rsidRPr="00444A16" w:rsidRDefault="00BD3E28" w:rsidP="00F71A33">
      <w:pPr>
        <w:pStyle w:val="a1"/>
        <w:rPr>
          <w:rFonts w:eastAsia="宋体" w:hint="eastAsia"/>
          <w:lang w:eastAsia="zh-CN"/>
        </w:rPr>
      </w:pPr>
      <w:r w:rsidRPr="00BD3E28">
        <w:rPr>
          <w:rFonts w:eastAsia="宋体"/>
          <w:lang w:eastAsia="zh-CN"/>
        </w:rPr>
        <w:t>Electronic Meeting, 17-28 Aug., 2020</w:t>
      </w:r>
    </w:p>
    <w:p w:rsidR="00F71A33" w:rsidRPr="00F71A33" w:rsidRDefault="00F71A33" w:rsidP="00F71A33">
      <w:pPr>
        <w:pStyle w:val="a1"/>
        <w:rPr>
          <w:rFonts w:eastAsia="宋体" w:hint="eastAsia"/>
          <w:lang w:eastAsia="zh-CN"/>
        </w:rPr>
      </w:pPr>
    </w:p>
    <w:p w:rsidR="00911C40" w:rsidRPr="00F26092" w:rsidRDefault="00911C40" w:rsidP="00911C40">
      <w:pPr>
        <w:tabs>
          <w:tab w:val="left" w:pos="1985"/>
        </w:tabs>
        <w:jc w:val="both"/>
        <w:rPr>
          <w:rFonts w:ascii="Arial" w:hAnsi="Arial" w:cs="Arial" w:hint="eastAsia"/>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Hisilicon</w:t>
      </w:r>
    </w:p>
    <w:p w:rsidR="00911C40" w:rsidRPr="003044DD" w:rsidRDefault="00911C40" w:rsidP="00911C40">
      <w:pPr>
        <w:ind w:left="1985" w:hanging="1985"/>
        <w:rPr>
          <w:rFonts w:ascii="Arial" w:hAnsi="Arial" w:cs="Arial" w:hint="eastAsia"/>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6307A" w:rsidRPr="0046307A">
        <w:rPr>
          <w:rFonts w:ascii="Arial" w:hAnsi="Arial" w:cs="Arial"/>
          <w:sz w:val="22"/>
        </w:rPr>
        <w:t>On switching period for LTE SL and NR SL</w:t>
      </w:r>
    </w:p>
    <w:p w:rsidR="00911C40" w:rsidRPr="0022403E" w:rsidRDefault="00911C40" w:rsidP="00911C40">
      <w:pPr>
        <w:ind w:left="1985" w:hanging="1985"/>
        <w:rPr>
          <w:rFonts w:ascii="Arial" w:hAnsi="Arial" w:cs="Arial" w:hint="eastAsia"/>
          <w:sz w:val="22"/>
        </w:rPr>
      </w:pPr>
      <w:r>
        <w:rPr>
          <w:rFonts w:ascii="Arial" w:hAnsi="Arial" w:cs="Arial" w:hint="eastAsia"/>
          <w:b/>
          <w:sz w:val="22"/>
        </w:rPr>
        <w:t>Agenda Item:</w:t>
      </w:r>
      <w:r>
        <w:rPr>
          <w:rFonts w:ascii="Arial" w:hAnsi="Arial" w:cs="Arial" w:hint="eastAsia"/>
          <w:sz w:val="22"/>
        </w:rPr>
        <w:tab/>
      </w:r>
      <w:r w:rsidR="0046307A" w:rsidRPr="0046307A">
        <w:rPr>
          <w:rFonts w:ascii="Arial" w:hAnsi="Arial" w:cs="Arial"/>
          <w:sz w:val="22"/>
        </w:rPr>
        <w:t>7.3.4.1</w:t>
      </w:r>
    </w:p>
    <w:p w:rsidR="00911C40" w:rsidRPr="00A62DA7" w:rsidRDefault="00911C40" w:rsidP="00911C40">
      <w:pPr>
        <w:tabs>
          <w:tab w:val="left" w:pos="1985"/>
        </w:tabs>
        <w:jc w:val="both"/>
        <w:rPr>
          <w:rFonts w:ascii="Arial" w:hAnsi="Arial" w:cs="Arial" w:hint="eastAsia"/>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hint="eastAsia"/>
          <w:lang w:eastAsia="zh-CN"/>
        </w:rPr>
      </w:pPr>
      <w:r>
        <w:rPr>
          <w:rFonts w:eastAsia="宋体" w:hint="eastAsia"/>
          <w:lang w:eastAsia="zh-CN"/>
        </w:rPr>
        <w:t>Introduction</w:t>
      </w:r>
    </w:p>
    <w:p w:rsidR="00E71995" w:rsidRDefault="00FB48D4" w:rsidP="00506149">
      <w:pPr>
        <w:rPr>
          <w:rFonts w:hint="eastAsia"/>
        </w:rPr>
      </w:pPr>
      <w:r>
        <w:t>Remaining issues for NR V2X con-current operation were recorded in [1</w:t>
      </w:r>
      <w:proofErr w:type="gramStart"/>
      <w:r>
        <w:t>][</w:t>
      </w:r>
      <w:proofErr w:type="gramEnd"/>
      <w:r>
        <w:t xml:space="preserve">2]. For </w:t>
      </w:r>
      <w:proofErr w:type="spellStart"/>
      <w:proofErr w:type="gramStart"/>
      <w:r>
        <w:t>Tx</w:t>
      </w:r>
      <w:proofErr w:type="spellEnd"/>
      <w:proofErr w:type="gramEnd"/>
      <w:r>
        <w:t xml:space="preserve"> part, the main issue left is the switching period requirement. This contribution is focused on this issue.</w:t>
      </w:r>
    </w:p>
    <w:p w:rsidR="00062E8E" w:rsidRDefault="00062E8E" w:rsidP="00F23E96">
      <w:pPr>
        <w:pStyle w:val="Heading1"/>
        <w:spacing w:after="240"/>
        <w:rPr>
          <w:rFonts w:eastAsia="宋体"/>
          <w:lang w:eastAsia="zh-CN"/>
        </w:rPr>
      </w:pPr>
      <w:r>
        <w:rPr>
          <w:rFonts w:eastAsia="宋体" w:hint="eastAsia"/>
          <w:lang w:eastAsia="zh-CN"/>
        </w:rPr>
        <w:t>Discussion</w:t>
      </w:r>
    </w:p>
    <w:p w:rsidR="00FB48D4" w:rsidRDefault="00FB48D4" w:rsidP="00303E78">
      <w:r>
        <w:t>For switching period requirement, two aspects are included, i.e. switching time as well as switching period position.</w:t>
      </w:r>
    </w:p>
    <w:p w:rsidR="00FB48D4" w:rsidRDefault="00FB48D4" w:rsidP="00303E78">
      <w:r>
        <w:t xml:space="preserve">Regarding switching time, most companies agree with 150us, but one company insisted to 210us. </w:t>
      </w:r>
    </w:p>
    <w:p w:rsidR="00FB48D4" w:rsidRDefault="00FB48D4" w:rsidP="00303E78">
      <w:r>
        <w:t>As for switching period position, there are several options are under discussion:</w:t>
      </w:r>
    </w:p>
    <w:p w:rsidR="00FF0B57" w:rsidRPr="006E377B" w:rsidRDefault="00FB48D4" w:rsidP="00FB48D4">
      <w:pPr>
        <w:numPr>
          <w:ilvl w:val="0"/>
          <w:numId w:val="44"/>
        </w:numPr>
        <w:rPr>
          <w:i/>
          <w:lang w:val="en-US"/>
        </w:rPr>
      </w:pPr>
      <w:r w:rsidRPr="006E377B">
        <w:rPr>
          <w:i/>
        </w:rPr>
        <w:t xml:space="preserve">Option 1: Switching period is placed at the NR slot </w:t>
      </w:r>
    </w:p>
    <w:p w:rsidR="00FF0B57" w:rsidRPr="006E377B" w:rsidRDefault="00FB48D4" w:rsidP="00FB48D4">
      <w:pPr>
        <w:numPr>
          <w:ilvl w:val="0"/>
          <w:numId w:val="44"/>
        </w:numPr>
        <w:rPr>
          <w:i/>
          <w:lang w:val="en-US"/>
        </w:rPr>
      </w:pPr>
      <w:r w:rsidRPr="006E377B">
        <w:rPr>
          <w:i/>
        </w:rPr>
        <w:t>Option 1a: see the proposal of Figure 1+ Figure 2b</w:t>
      </w:r>
      <w:r w:rsidRPr="006E377B">
        <w:rPr>
          <w:i/>
          <w:lang w:val="en-US"/>
        </w:rPr>
        <w:t xml:space="preserve"> in R4-2007342</w:t>
      </w:r>
      <w:r w:rsidRPr="006E377B">
        <w:rPr>
          <w:i/>
        </w:rPr>
        <w:t xml:space="preserve"> </w:t>
      </w:r>
    </w:p>
    <w:p w:rsidR="00FF0B57" w:rsidRPr="006E377B" w:rsidRDefault="00FB48D4" w:rsidP="00FB48D4">
      <w:pPr>
        <w:numPr>
          <w:ilvl w:val="0"/>
          <w:numId w:val="44"/>
        </w:numPr>
        <w:rPr>
          <w:i/>
          <w:lang w:val="en-US"/>
        </w:rPr>
      </w:pPr>
      <w:r w:rsidRPr="006E377B">
        <w:rPr>
          <w:i/>
        </w:rPr>
        <w:t xml:space="preserve">Option 2: </w:t>
      </w:r>
      <w:r w:rsidRPr="006E377B">
        <w:rPr>
          <w:i/>
          <w:lang w:val="en-US"/>
        </w:rPr>
        <w:t>The whole switching time including switching period as well as transient periods shall be placed at the previous E-UTRA sub-frame or NR slot</w:t>
      </w:r>
      <w:r w:rsidRPr="006E377B">
        <w:rPr>
          <w:i/>
        </w:rPr>
        <w:t xml:space="preserve"> </w:t>
      </w:r>
    </w:p>
    <w:p w:rsidR="00FB48D4" w:rsidRPr="006E377B" w:rsidRDefault="00FB48D4" w:rsidP="00FB48D4">
      <w:pPr>
        <w:numPr>
          <w:ilvl w:val="0"/>
          <w:numId w:val="44"/>
        </w:numPr>
        <w:rPr>
          <w:i/>
        </w:rPr>
      </w:pPr>
      <w:r w:rsidRPr="006E377B">
        <w:rPr>
          <w:i/>
          <w:lang w:val="en-US"/>
        </w:rPr>
        <w:t>Option 3: Switching period is placed at the last slot/SF of the RAT UE switches from, or placed at the first slot/SF of the RAT UE switches to. Choosing which RAT to place the switching period is up to UE implementation.</w:t>
      </w:r>
    </w:p>
    <w:p w:rsidR="00FB48D4" w:rsidRPr="006E377B" w:rsidRDefault="00FB48D4" w:rsidP="00FB48D4">
      <w:pPr>
        <w:numPr>
          <w:ilvl w:val="0"/>
          <w:numId w:val="44"/>
        </w:numPr>
        <w:rPr>
          <w:i/>
        </w:rPr>
      </w:pPr>
      <w:r w:rsidRPr="006E377B">
        <w:rPr>
          <w:i/>
          <w:lang w:val="en-US"/>
        </w:rPr>
        <w:t>Option 4: Switching period is placed at the first slot/SF of the RAT UE switches to.</w:t>
      </w:r>
    </w:p>
    <w:p w:rsidR="00765728" w:rsidRDefault="00FB48D4" w:rsidP="00FB48D4">
      <w:pPr>
        <w:rPr>
          <w:lang w:val="en-US"/>
        </w:rPr>
      </w:pPr>
      <w:r>
        <w:rPr>
          <w:lang w:val="en-US"/>
        </w:rPr>
        <w:t>It is noted that option 3 and option 4 were not discussed in the 1</w:t>
      </w:r>
      <w:r w:rsidRPr="00FB48D4">
        <w:rPr>
          <w:vertAlign w:val="superscript"/>
          <w:lang w:val="en-US"/>
        </w:rPr>
        <w:t>st</w:t>
      </w:r>
      <w:r>
        <w:rPr>
          <w:lang w:val="en-US"/>
        </w:rPr>
        <w:t xml:space="preserve"> round in last meeting at all. </w:t>
      </w:r>
    </w:p>
    <w:p w:rsidR="00FB48D4" w:rsidRDefault="00765728" w:rsidP="00FB48D4">
      <w:r>
        <w:rPr>
          <w:lang w:val="en-US"/>
        </w:rPr>
        <w:t>Before diving into the specific value and options, we should be aware of the progress made in RRM session. The following agreement of interruption or scheduling restriction was already captured in the latest RRM specification.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55A97" w:rsidTr="00FF0B57">
        <w:tc>
          <w:tcPr>
            <w:tcW w:w="9857" w:type="dxa"/>
            <w:shd w:val="clear" w:color="auto" w:fill="auto"/>
          </w:tcPr>
          <w:p w:rsidR="00355A97" w:rsidRPr="009C5807" w:rsidRDefault="00355A97" w:rsidP="00FF0B57">
            <w:pPr>
              <w:pStyle w:val="Heading3"/>
              <w:numPr>
                <w:ilvl w:val="0"/>
                <w:numId w:val="0"/>
              </w:numPr>
            </w:pPr>
            <w:r w:rsidRPr="00FF0B57">
              <w:rPr>
                <w:szCs w:val="28"/>
              </w:rPr>
              <w:t>12.9.1</w:t>
            </w:r>
            <w:r w:rsidRPr="00FF0B57">
              <w:rPr>
                <w:szCs w:val="28"/>
              </w:rPr>
              <w:tab/>
            </w:r>
            <w:r w:rsidRPr="00FF0B57">
              <w:rPr>
                <w:szCs w:val="28"/>
                <w:lang w:eastAsia="ko-KR"/>
              </w:rPr>
              <w:t>Scheduling</w:t>
            </w:r>
            <w:r w:rsidRPr="009C5807">
              <w:rPr>
                <w:lang w:eastAsia="ko-KR"/>
              </w:rPr>
              <w:t xml:space="preserve"> availability </w:t>
            </w:r>
            <w:r w:rsidRPr="009C5807">
              <w:t>of UE switching between E-UTRA sidelink and NR sidelink</w:t>
            </w:r>
            <w:r w:rsidRPr="00FF0B57">
              <w:rPr>
                <w:sz w:val="24"/>
              </w:rPr>
              <w:t xml:space="preserve"> </w:t>
            </w:r>
          </w:p>
          <w:p w:rsidR="00355A97" w:rsidRPr="00FF0B57" w:rsidRDefault="00355A97" w:rsidP="00355A97">
            <w:pPr>
              <w:rPr>
                <w:rFonts w:eastAsia="Times New Roman"/>
                <w:lang w:eastAsia="ko-KR"/>
              </w:rPr>
            </w:pPr>
            <w:r w:rsidRPr="00FF0B57">
              <w:rPr>
                <w:rFonts w:eastAsia="Times New Roman"/>
                <w:lang w:eastAsia="ko-KR"/>
              </w:rPr>
              <w:t>This clause contains the restrictions on the scheduling availability for V2X sidelink due to switching between E-UTRA V2X sidelink and NR V2X sidelink on a dedicated carrier. For the NR V2X sidelink, the assumed number of configured symbols in a slot is 14.</w:t>
            </w:r>
          </w:p>
          <w:p w:rsidR="00355A97" w:rsidRPr="00FF0B57" w:rsidRDefault="00355A97" w:rsidP="00355A97">
            <w:pPr>
              <w:rPr>
                <w:rFonts w:eastAsia="Times New Roman"/>
                <w:lang w:eastAsia="ko-KR"/>
              </w:rPr>
            </w:pPr>
            <w:r w:rsidRPr="00FF0B57">
              <w:rPr>
                <w:rFonts w:eastAsia="Times New Roman"/>
                <w:lang w:eastAsia="ko-KR"/>
              </w:rPr>
              <w:t xml:space="preserve">When switch from E-UTRA V2X sidelink to NR V2X sidelink occurs in NR slot ‘n’, </w:t>
            </w:r>
          </w:p>
          <w:p w:rsidR="00355A97" w:rsidRPr="00FF0B57" w:rsidRDefault="00355A97" w:rsidP="00FF0B57">
            <w:pPr>
              <w:pStyle w:val="B10"/>
              <w:numPr>
                <w:ilvl w:val="0"/>
                <w:numId w:val="43"/>
              </w:numPr>
              <w:ind w:left="568" w:hanging="284"/>
              <w:rPr>
                <w:rFonts w:eastAsia="Times New Roman"/>
                <w:lang w:eastAsia="x-none"/>
              </w:rPr>
            </w:pPr>
            <w:r w:rsidRPr="00FF0B57">
              <w:rPr>
                <w:rFonts w:eastAsia="Times New Roman"/>
                <w:lang w:eastAsia="x-none"/>
              </w:rPr>
              <w:t>UE is not expected to transmit or receive on NR V2X sidelink on the slot ‘n’.</w:t>
            </w:r>
          </w:p>
          <w:p w:rsidR="00355A97" w:rsidRPr="00FF0B57" w:rsidRDefault="00355A97" w:rsidP="00355A97">
            <w:pPr>
              <w:rPr>
                <w:lang w:val="en-US" w:eastAsia="ko-KR"/>
              </w:rPr>
            </w:pPr>
            <w:r w:rsidRPr="00FF0B57">
              <w:rPr>
                <w:lang w:val="en-US" w:eastAsia="ko-KR"/>
              </w:rPr>
              <w:t xml:space="preserve">When switch from NR V2X sidelink to E-UTRA V2X sidelink occurs in NR slot ‘n-1’, </w:t>
            </w:r>
          </w:p>
          <w:p w:rsidR="00355A97" w:rsidRPr="00FF0B57" w:rsidRDefault="00355A97" w:rsidP="00FF0B57">
            <w:pPr>
              <w:pStyle w:val="B10"/>
              <w:numPr>
                <w:ilvl w:val="0"/>
                <w:numId w:val="43"/>
              </w:numPr>
              <w:ind w:left="568" w:hanging="284"/>
              <w:rPr>
                <w:rFonts w:eastAsia="Times New Roman"/>
                <w:lang w:eastAsia="x-none"/>
              </w:rPr>
            </w:pPr>
            <w:r w:rsidRPr="00FF0B57">
              <w:rPr>
                <w:rFonts w:eastAsia="Times New Roman"/>
                <w:lang w:eastAsia="x-none"/>
              </w:rPr>
              <w:t xml:space="preserve"> UE is not expected to transmit or receive on NR V2X sidelink on the slot ‘n-1’. </w:t>
            </w:r>
          </w:p>
          <w:p w:rsidR="00355A97" w:rsidRPr="00FF0B57" w:rsidRDefault="00355A97" w:rsidP="00355A97">
            <w:pPr>
              <w:rPr>
                <w:lang w:val="en-US" w:eastAsia="ko-KR"/>
              </w:rPr>
            </w:pPr>
            <w:r w:rsidRPr="00FF0B57">
              <w:rPr>
                <w:lang w:val="en-US" w:eastAsia="ko-KR"/>
              </w:rPr>
              <w:t xml:space="preserve">When switch from NR V2X sidelink to E-UTRA V2X sidelink occurs in E-UTRA </w:t>
            </w:r>
            <w:proofErr w:type="spellStart"/>
            <w:r w:rsidRPr="00FF0B57">
              <w:rPr>
                <w:lang w:val="en-US" w:eastAsia="ko-KR"/>
              </w:rPr>
              <w:t>subframe</w:t>
            </w:r>
            <w:proofErr w:type="spellEnd"/>
            <w:r w:rsidRPr="00FF0B57">
              <w:rPr>
                <w:lang w:val="en-US" w:eastAsia="ko-KR"/>
              </w:rPr>
              <w:t xml:space="preserve"> ‘n’, </w:t>
            </w:r>
          </w:p>
          <w:p w:rsidR="00355A97" w:rsidRPr="00FF0B57" w:rsidRDefault="00355A97" w:rsidP="00FF0B57">
            <w:pPr>
              <w:pStyle w:val="B10"/>
              <w:numPr>
                <w:ilvl w:val="0"/>
                <w:numId w:val="43"/>
              </w:numPr>
              <w:ind w:left="568" w:hanging="284"/>
              <w:rPr>
                <w:rFonts w:eastAsia="Times New Roman"/>
                <w:lang w:eastAsia="x-none"/>
              </w:rPr>
            </w:pPr>
            <w:r w:rsidRPr="00FF0B57">
              <w:rPr>
                <w:rFonts w:eastAsia="Times New Roman"/>
                <w:lang w:eastAsia="x-none"/>
              </w:rPr>
              <w:lastRenderedPageBreak/>
              <w:t xml:space="preserve">UE is not expected to transmit or receive on E-UTRA V2X sidelink on the </w:t>
            </w:r>
            <w:proofErr w:type="spellStart"/>
            <w:r w:rsidRPr="00FF0B57">
              <w:rPr>
                <w:rFonts w:eastAsia="Times New Roman"/>
                <w:lang w:eastAsia="x-none"/>
              </w:rPr>
              <w:t>subframe</w:t>
            </w:r>
            <w:proofErr w:type="spellEnd"/>
            <w:r w:rsidRPr="00FF0B57">
              <w:rPr>
                <w:rFonts w:eastAsia="Times New Roman"/>
                <w:lang w:eastAsia="x-none"/>
              </w:rPr>
              <w:t xml:space="preserve"> ‘n’.</w:t>
            </w:r>
          </w:p>
          <w:p w:rsidR="00355A97" w:rsidRPr="00FF0B57" w:rsidRDefault="00355A97" w:rsidP="00355A97">
            <w:pPr>
              <w:rPr>
                <w:lang w:val="en-US" w:eastAsia="ko-KR"/>
              </w:rPr>
            </w:pPr>
            <w:r w:rsidRPr="00FF0B57">
              <w:rPr>
                <w:lang w:val="en-US" w:eastAsia="ko-KR"/>
              </w:rPr>
              <w:t xml:space="preserve">When switch from E-UTRA V2X sidelink to NR V2X sidelink occurs in E-UTRA </w:t>
            </w:r>
            <w:proofErr w:type="spellStart"/>
            <w:r w:rsidRPr="00FF0B57">
              <w:rPr>
                <w:lang w:val="en-US" w:eastAsia="ko-KR"/>
              </w:rPr>
              <w:t>subframe</w:t>
            </w:r>
            <w:proofErr w:type="spellEnd"/>
            <w:r w:rsidRPr="00FF0B57">
              <w:rPr>
                <w:lang w:val="en-US" w:eastAsia="ko-KR"/>
              </w:rPr>
              <w:t xml:space="preserve"> ‘n-1’, </w:t>
            </w:r>
          </w:p>
          <w:p w:rsidR="00355A97" w:rsidRPr="00FF0B57" w:rsidRDefault="00355A97" w:rsidP="00FF0B57">
            <w:pPr>
              <w:pStyle w:val="B10"/>
              <w:numPr>
                <w:ilvl w:val="0"/>
                <w:numId w:val="43"/>
              </w:numPr>
              <w:ind w:left="568" w:hanging="284"/>
              <w:rPr>
                <w:rFonts w:eastAsia="Times New Roman"/>
                <w:lang w:eastAsia="x-none"/>
              </w:rPr>
            </w:pPr>
            <w:r w:rsidRPr="00FF0B57">
              <w:rPr>
                <w:rFonts w:eastAsia="Times New Roman"/>
                <w:lang w:eastAsia="x-none"/>
              </w:rPr>
              <w:t xml:space="preserve">UE is not expected to transmit or receive E-UTRA on V2X sidelink on the </w:t>
            </w:r>
            <w:proofErr w:type="spellStart"/>
            <w:r w:rsidRPr="00FF0B57">
              <w:rPr>
                <w:rFonts w:eastAsia="Times New Roman"/>
                <w:lang w:eastAsia="x-none"/>
              </w:rPr>
              <w:t>subframe</w:t>
            </w:r>
            <w:proofErr w:type="spellEnd"/>
            <w:r w:rsidRPr="00FF0B57">
              <w:rPr>
                <w:rFonts w:eastAsia="Times New Roman"/>
                <w:lang w:eastAsia="x-none"/>
              </w:rPr>
              <w:t xml:space="preserve"> ‘n-1’.</w:t>
            </w:r>
          </w:p>
        </w:tc>
      </w:tr>
    </w:tbl>
    <w:p w:rsidR="00355A97" w:rsidRDefault="00765728" w:rsidP="00765728">
      <w:pPr>
        <w:spacing w:before="120"/>
      </w:pPr>
      <w:r>
        <w:lastRenderedPageBreak/>
        <w:t>Based on the above restrictions, it is not that important of the specific switching time as long as it is less the interruption slot/</w:t>
      </w:r>
      <w:proofErr w:type="spellStart"/>
      <w:r>
        <w:t>subframe</w:t>
      </w:r>
      <w:proofErr w:type="spellEnd"/>
      <w:r>
        <w:t xml:space="preserve"> but we see no convinced </w:t>
      </w:r>
      <w:r w:rsidR="00CE13CB">
        <w:t xml:space="preserve">reason not to adopt the value most companies preferred. </w:t>
      </w:r>
    </w:p>
    <w:p w:rsidR="00355A97" w:rsidRDefault="00CE13CB" w:rsidP="00303E78">
      <w:r>
        <w:t xml:space="preserve">According to the scheduling restriction specified in RRM specification, no matter the switching occurs at switching from or switching to, one slot or </w:t>
      </w:r>
      <w:proofErr w:type="spellStart"/>
      <w:r>
        <w:t>subframe</w:t>
      </w:r>
      <w:proofErr w:type="spellEnd"/>
      <w:r>
        <w:t xml:space="preserve"> would be waived. That means that time mask should not be specified across the boundary of LTE V2X and NR V2X, otherwise, more resource would be wasted. </w:t>
      </w:r>
    </w:p>
    <w:p w:rsidR="00CE13CB" w:rsidRDefault="00CE13CB" w:rsidP="00303E78">
      <w:pPr>
        <w:rPr>
          <w:b/>
          <w:i/>
        </w:rPr>
      </w:pPr>
      <w:r w:rsidRPr="00CE13CB">
        <w:rPr>
          <w:b/>
          <w:i/>
        </w:rPr>
        <w:t>Observation</w:t>
      </w:r>
      <w:r>
        <w:rPr>
          <w:b/>
          <w:i/>
        </w:rPr>
        <w:t xml:space="preserve"> 1</w:t>
      </w:r>
      <w:r w:rsidRPr="00CE13CB">
        <w:rPr>
          <w:b/>
          <w:i/>
        </w:rPr>
        <w:t xml:space="preserve">: </w:t>
      </w:r>
      <w:r>
        <w:rPr>
          <w:b/>
          <w:i/>
        </w:rPr>
        <w:t>No clear benefit for a longer switching time under the scheduling restriction condition.</w:t>
      </w:r>
    </w:p>
    <w:p w:rsidR="00CE13CB" w:rsidRPr="00CE13CB" w:rsidRDefault="00CE13CB" w:rsidP="00303E78">
      <w:pPr>
        <w:rPr>
          <w:b/>
          <w:i/>
        </w:rPr>
      </w:pPr>
      <w:r>
        <w:rPr>
          <w:b/>
          <w:i/>
        </w:rPr>
        <w:t xml:space="preserve">Observation 2: The whole switching period together with transient period should be put on one side on LTE </w:t>
      </w:r>
      <w:proofErr w:type="spellStart"/>
      <w:r>
        <w:rPr>
          <w:b/>
          <w:i/>
        </w:rPr>
        <w:t>subframe</w:t>
      </w:r>
      <w:proofErr w:type="spellEnd"/>
      <w:r>
        <w:rPr>
          <w:b/>
          <w:i/>
        </w:rPr>
        <w:t xml:space="preserve"> or NR slot</w:t>
      </w:r>
      <w:r w:rsidR="006E377B">
        <w:rPr>
          <w:b/>
          <w:i/>
        </w:rPr>
        <w:t xml:space="preserve"> to avoid more wasted resource.</w:t>
      </w:r>
    </w:p>
    <w:p w:rsidR="00CE13CB" w:rsidRDefault="006E377B" w:rsidP="00303E78">
      <w:r>
        <w:t xml:space="preserve">Unlike EN-DC, LTE has higher priority as it is configured as </w:t>
      </w:r>
      <w:proofErr w:type="spellStart"/>
      <w:r>
        <w:t>Pcell</w:t>
      </w:r>
      <w:proofErr w:type="spellEnd"/>
      <w:r>
        <w:t xml:space="preserve">, while for LTE V2X and NR V2X there is no clear priority for these two services. Thus it is not fair to put the switching period </w:t>
      </w:r>
      <w:r w:rsidR="00A92E20">
        <w:t xml:space="preserve">always on NR V2X side. </w:t>
      </w:r>
    </w:p>
    <w:p w:rsidR="00A92E20" w:rsidRDefault="00A92E20" w:rsidP="00303E78">
      <w:pPr>
        <w:rPr>
          <w:b/>
          <w:i/>
        </w:rPr>
      </w:pPr>
      <w:r w:rsidRPr="00A92E20">
        <w:rPr>
          <w:b/>
          <w:i/>
        </w:rPr>
        <w:t xml:space="preserve">Observation 3: </w:t>
      </w:r>
      <w:r>
        <w:rPr>
          <w:b/>
          <w:i/>
        </w:rPr>
        <w:t>It’s not reasonable to put the switching period only at the NR V2X side.</w:t>
      </w:r>
    </w:p>
    <w:p w:rsidR="00A92E20" w:rsidRDefault="00A92E20" w:rsidP="00303E78">
      <w:r>
        <w:t xml:space="preserve">With the scheduling restriction, there is no essential difference for the candidate option 2 to option 4. For simplicity we only need to choose one. Since more companies prefer option 2, we can adopt that option to specify the switching period time mask requirement. </w:t>
      </w:r>
    </w:p>
    <w:p w:rsidR="00A92E20" w:rsidRPr="00A92E20" w:rsidRDefault="00A92E20" w:rsidP="00303E78">
      <w:pPr>
        <w:rPr>
          <w:b/>
          <w:i/>
        </w:rPr>
      </w:pPr>
      <w:r w:rsidRPr="00A92E20">
        <w:rPr>
          <w:b/>
          <w:i/>
        </w:rPr>
        <w:t xml:space="preserve">Observation 4: </w:t>
      </w:r>
      <w:r>
        <w:rPr>
          <w:b/>
          <w:i/>
        </w:rPr>
        <w:t>Due to the scheduling restriction, no essential difference for options to put the switching period at either LTE sub-frame or NR slot.</w:t>
      </w:r>
    </w:p>
    <w:p w:rsidR="00A92E20" w:rsidRDefault="000F5959" w:rsidP="00303E78">
      <w:r>
        <w:t>Considering the above observations, we think that the time mask proposed in [3] can still fulfil the purpose of introducing the switching period.</w:t>
      </w:r>
    </w:p>
    <w:p w:rsidR="000F5959" w:rsidRDefault="005B3386" w:rsidP="000F5959">
      <w:pPr>
        <w:jc w:val="center"/>
        <w:rPr>
          <w:lang w:val="en-US" w:eastAsia="en-US"/>
        </w:rPr>
      </w:pPr>
      <w:r>
        <w:rPr>
          <w:noProof/>
          <w:lang w:val="en-US"/>
        </w:rPr>
        <w:drawing>
          <wp:inline distT="0" distB="0" distL="0" distR="0">
            <wp:extent cx="5337810" cy="15093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37810" cy="1509395"/>
                    </a:xfrm>
                    <a:prstGeom prst="rect">
                      <a:avLst/>
                    </a:prstGeom>
                    <a:noFill/>
                  </pic:spPr>
                </pic:pic>
              </a:graphicData>
            </a:graphic>
          </wp:inline>
        </w:drawing>
      </w:r>
    </w:p>
    <w:p w:rsidR="000F5959" w:rsidRDefault="000F5959" w:rsidP="000F5959">
      <w:pPr>
        <w:jc w:val="center"/>
        <w:rPr>
          <w:lang w:val="en-US" w:eastAsia="en-US"/>
        </w:rPr>
      </w:pPr>
      <w:r w:rsidRPr="005A0D1A">
        <w:rPr>
          <w:rFonts w:ascii="Arial" w:hAnsi="Arial" w:cs="Arial"/>
          <w:b/>
          <w:lang w:val="en-US" w:eastAsia="en-US"/>
        </w:rPr>
        <w:t xml:space="preserve">Figure </w:t>
      </w:r>
      <w:r>
        <w:rPr>
          <w:rFonts w:ascii="Arial" w:hAnsi="Arial" w:cs="Arial"/>
          <w:b/>
          <w:lang w:val="en-US" w:eastAsia="en-US"/>
        </w:rPr>
        <w:t>1</w:t>
      </w:r>
      <w:r w:rsidRPr="005A0D1A">
        <w:rPr>
          <w:rFonts w:ascii="Arial" w:hAnsi="Arial" w:cs="Arial"/>
          <w:b/>
          <w:lang w:val="en-US" w:eastAsia="en-US"/>
        </w:rPr>
        <w:t xml:space="preserve">: Time mask for switching between NR </w:t>
      </w:r>
      <w:r>
        <w:rPr>
          <w:rFonts w:ascii="Arial" w:hAnsi="Arial" w:cs="Arial"/>
          <w:b/>
          <w:lang w:val="en-US" w:eastAsia="en-US"/>
        </w:rPr>
        <w:t>V2X SL</w:t>
      </w:r>
      <w:r w:rsidRPr="005A0D1A">
        <w:rPr>
          <w:rFonts w:ascii="Arial" w:hAnsi="Arial" w:cs="Arial"/>
          <w:b/>
          <w:lang w:val="en-US" w:eastAsia="en-US"/>
        </w:rPr>
        <w:t xml:space="preserve"> and E-UTRA </w:t>
      </w:r>
      <w:r>
        <w:rPr>
          <w:rFonts w:ascii="Arial" w:hAnsi="Arial" w:cs="Arial"/>
          <w:b/>
          <w:lang w:val="en-US" w:eastAsia="en-US"/>
        </w:rPr>
        <w:t>V2X SL</w:t>
      </w:r>
    </w:p>
    <w:p w:rsidR="000F5959" w:rsidRDefault="005B3386" w:rsidP="000F5959">
      <w:pPr>
        <w:jc w:val="center"/>
        <w:rPr>
          <w:lang w:val="en-US" w:eastAsia="en-US"/>
        </w:rPr>
      </w:pPr>
      <w:r>
        <w:rPr>
          <w:noProof/>
          <w:lang w:val="en-US"/>
        </w:rPr>
        <w:drawing>
          <wp:inline distT="0" distB="0" distL="0" distR="0">
            <wp:extent cx="5435600" cy="15405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35600" cy="1540510"/>
                    </a:xfrm>
                    <a:prstGeom prst="rect">
                      <a:avLst/>
                    </a:prstGeom>
                    <a:noFill/>
                  </pic:spPr>
                </pic:pic>
              </a:graphicData>
            </a:graphic>
          </wp:inline>
        </w:drawing>
      </w:r>
    </w:p>
    <w:p w:rsidR="000F5959" w:rsidRDefault="000F5959" w:rsidP="000F5959">
      <w:pPr>
        <w:jc w:val="center"/>
        <w:rPr>
          <w:rFonts w:ascii="Arial" w:hAnsi="Arial" w:cs="Arial"/>
          <w:b/>
          <w:lang w:val="en-US" w:eastAsia="en-US"/>
        </w:rPr>
      </w:pPr>
      <w:r w:rsidRPr="005A0D1A">
        <w:rPr>
          <w:rFonts w:ascii="Arial" w:hAnsi="Arial" w:cs="Arial"/>
          <w:b/>
          <w:lang w:val="en-US" w:eastAsia="en-US"/>
        </w:rPr>
        <w:t xml:space="preserve">Figure </w:t>
      </w:r>
      <w:r>
        <w:rPr>
          <w:rFonts w:ascii="Arial" w:hAnsi="Arial" w:cs="Arial"/>
          <w:b/>
          <w:lang w:val="en-US" w:eastAsia="en-US"/>
        </w:rPr>
        <w:t>2</w:t>
      </w:r>
      <w:r w:rsidRPr="005A0D1A">
        <w:rPr>
          <w:rFonts w:ascii="Arial" w:hAnsi="Arial" w:cs="Arial"/>
          <w:b/>
          <w:lang w:val="en-US" w:eastAsia="en-US"/>
        </w:rPr>
        <w:t xml:space="preserve">: Time mask for switching between E-UTRA </w:t>
      </w:r>
      <w:r>
        <w:rPr>
          <w:rFonts w:ascii="Arial" w:hAnsi="Arial" w:cs="Arial"/>
          <w:b/>
          <w:lang w:val="en-US" w:eastAsia="en-US"/>
        </w:rPr>
        <w:t>V2X SL</w:t>
      </w:r>
      <w:r w:rsidRPr="005A0D1A">
        <w:rPr>
          <w:rFonts w:ascii="Arial" w:hAnsi="Arial" w:cs="Arial"/>
          <w:b/>
          <w:lang w:val="en-US" w:eastAsia="en-US"/>
        </w:rPr>
        <w:t xml:space="preserve"> and NR </w:t>
      </w:r>
      <w:r>
        <w:rPr>
          <w:rFonts w:ascii="Arial" w:hAnsi="Arial" w:cs="Arial"/>
          <w:b/>
          <w:lang w:val="en-US" w:eastAsia="en-US"/>
        </w:rPr>
        <w:t>V2X SL</w:t>
      </w:r>
    </w:p>
    <w:p w:rsidR="000F5959" w:rsidRDefault="000F5959" w:rsidP="000F5959">
      <w:pPr>
        <w:rPr>
          <w:b/>
          <w:i/>
          <w:lang w:val="en-US" w:eastAsia="en-US"/>
        </w:rPr>
      </w:pPr>
      <w:r>
        <w:rPr>
          <w:b/>
          <w:i/>
          <w:lang w:val="en-US" w:eastAsia="en-US"/>
        </w:rPr>
        <w:t>Proposal</w:t>
      </w:r>
      <w:r w:rsidRPr="00770DB7">
        <w:rPr>
          <w:b/>
          <w:i/>
          <w:lang w:val="en-US" w:eastAsia="en-US"/>
        </w:rPr>
        <w:t xml:space="preserve">: </w:t>
      </w:r>
      <w:r>
        <w:rPr>
          <w:b/>
          <w:i/>
          <w:lang w:val="en-US" w:eastAsia="en-US"/>
        </w:rPr>
        <w:t>It is proposed to agree on the time masks for switching between E-UTRA SL and NR SL as above</w:t>
      </w:r>
      <w:r w:rsidRPr="00770DB7">
        <w:rPr>
          <w:b/>
          <w:i/>
          <w:lang w:val="en-US" w:eastAsia="en-US"/>
        </w:rPr>
        <w:t>.</w:t>
      </w:r>
      <w:r>
        <w:rPr>
          <w:b/>
          <w:i/>
          <w:lang w:val="en-US" w:eastAsia="en-US"/>
        </w:rPr>
        <w:t xml:space="preserve"> </w:t>
      </w:r>
    </w:p>
    <w:p w:rsidR="000F5959" w:rsidRDefault="000F5959" w:rsidP="000F5959">
      <w:pPr>
        <w:rPr>
          <w:lang w:val="en-US" w:eastAsia="en-US"/>
        </w:rPr>
      </w:pPr>
    </w:p>
    <w:p w:rsidR="000F5959" w:rsidRDefault="000F5959" w:rsidP="000F5959">
      <w:pPr>
        <w:pStyle w:val="Heading1"/>
        <w:numPr>
          <w:ilvl w:val="0"/>
          <w:numId w:val="0"/>
        </w:numPr>
        <w:rPr>
          <w:rFonts w:eastAsia="宋体" w:hint="eastAsia"/>
          <w:lang w:eastAsia="zh-CN"/>
        </w:rPr>
      </w:pPr>
      <w:r>
        <w:lastRenderedPageBreak/>
        <w:t>3 Conclusion</w:t>
      </w:r>
    </w:p>
    <w:p w:rsidR="000F5959" w:rsidRDefault="000F5959" w:rsidP="000F5959">
      <w:pPr>
        <w:rPr>
          <w:lang w:val="en-US" w:eastAsia="en-US"/>
        </w:rPr>
      </w:pPr>
      <w:r>
        <w:rPr>
          <w:lang w:val="en-US" w:eastAsia="en-US"/>
        </w:rPr>
        <w:t xml:space="preserve">Further consideration on switching period requirement is provided in this contribution. </w:t>
      </w:r>
    </w:p>
    <w:p w:rsidR="000F5959" w:rsidRDefault="000F5959" w:rsidP="000F5959">
      <w:pPr>
        <w:rPr>
          <w:b/>
          <w:i/>
        </w:rPr>
      </w:pPr>
      <w:r w:rsidRPr="00CE13CB">
        <w:rPr>
          <w:b/>
          <w:i/>
        </w:rPr>
        <w:t>Observation</w:t>
      </w:r>
      <w:r>
        <w:rPr>
          <w:b/>
          <w:i/>
        </w:rPr>
        <w:t xml:space="preserve"> 1</w:t>
      </w:r>
      <w:r w:rsidRPr="00CE13CB">
        <w:rPr>
          <w:b/>
          <w:i/>
        </w:rPr>
        <w:t xml:space="preserve">: </w:t>
      </w:r>
      <w:r>
        <w:rPr>
          <w:b/>
          <w:i/>
        </w:rPr>
        <w:t>No clear benefit for a longer switching time under the scheduling restriction condition.</w:t>
      </w:r>
    </w:p>
    <w:p w:rsidR="000F5959" w:rsidRPr="00CE13CB" w:rsidRDefault="000F5959" w:rsidP="000F5959">
      <w:pPr>
        <w:rPr>
          <w:b/>
          <w:i/>
        </w:rPr>
      </w:pPr>
      <w:r>
        <w:rPr>
          <w:b/>
          <w:i/>
        </w:rPr>
        <w:t xml:space="preserve">Observation 2: The whole switching period together with transient period should be put on one side on LTE </w:t>
      </w:r>
      <w:proofErr w:type="spellStart"/>
      <w:r>
        <w:rPr>
          <w:b/>
          <w:i/>
        </w:rPr>
        <w:t>subframe</w:t>
      </w:r>
      <w:proofErr w:type="spellEnd"/>
      <w:r>
        <w:rPr>
          <w:b/>
          <w:i/>
        </w:rPr>
        <w:t xml:space="preserve"> or NR slot to avoid more wasted resource.</w:t>
      </w:r>
    </w:p>
    <w:p w:rsidR="000F5959" w:rsidRDefault="000F5959" w:rsidP="000F5959">
      <w:pPr>
        <w:rPr>
          <w:b/>
          <w:i/>
        </w:rPr>
      </w:pPr>
      <w:r w:rsidRPr="00A92E20">
        <w:rPr>
          <w:b/>
          <w:i/>
        </w:rPr>
        <w:t xml:space="preserve">Observation 3: </w:t>
      </w:r>
      <w:r>
        <w:rPr>
          <w:b/>
          <w:i/>
        </w:rPr>
        <w:t>It’s not reasonable to put the switching period only at the NR V2X side.</w:t>
      </w:r>
    </w:p>
    <w:p w:rsidR="000F5959" w:rsidRPr="00A92E20" w:rsidRDefault="000F5959" w:rsidP="000F5959">
      <w:pPr>
        <w:rPr>
          <w:b/>
          <w:i/>
        </w:rPr>
      </w:pPr>
      <w:r w:rsidRPr="00A92E20">
        <w:rPr>
          <w:b/>
          <w:i/>
        </w:rPr>
        <w:t xml:space="preserve">Observation 4: </w:t>
      </w:r>
      <w:r>
        <w:rPr>
          <w:b/>
          <w:i/>
        </w:rPr>
        <w:t>Due to the scheduling restriction, no essential difference for options to put the switching period at either LTE sub-frame or NR slot.</w:t>
      </w:r>
    </w:p>
    <w:p w:rsidR="000F5959" w:rsidRDefault="000F5959" w:rsidP="000F5959">
      <w:pPr>
        <w:rPr>
          <w:b/>
          <w:i/>
          <w:lang w:val="en-US" w:eastAsia="en-US"/>
        </w:rPr>
      </w:pPr>
      <w:r>
        <w:rPr>
          <w:b/>
          <w:i/>
          <w:lang w:val="en-US" w:eastAsia="en-US"/>
        </w:rPr>
        <w:t>Proposal</w:t>
      </w:r>
      <w:r w:rsidRPr="00770DB7">
        <w:rPr>
          <w:b/>
          <w:i/>
          <w:lang w:val="en-US" w:eastAsia="en-US"/>
        </w:rPr>
        <w:t xml:space="preserve">: </w:t>
      </w:r>
      <w:r>
        <w:rPr>
          <w:b/>
          <w:i/>
          <w:lang w:val="en-US" w:eastAsia="en-US"/>
        </w:rPr>
        <w:t>It is proposed to agree on the time masks for switching between E-UTRA SL and NR SL as in Figure 2</w:t>
      </w:r>
      <w:r w:rsidRPr="00770DB7">
        <w:rPr>
          <w:b/>
          <w:i/>
          <w:lang w:val="en-US" w:eastAsia="en-US"/>
        </w:rPr>
        <w:t>.</w:t>
      </w:r>
      <w:r>
        <w:rPr>
          <w:b/>
          <w:i/>
          <w:lang w:val="en-US" w:eastAsia="en-US"/>
        </w:rPr>
        <w:t xml:space="preserve"> </w:t>
      </w:r>
    </w:p>
    <w:p w:rsidR="00B22DA6" w:rsidRDefault="00B22DA6" w:rsidP="00B22DA6">
      <w:pPr>
        <w:pStyle w:val="Heading1"/>
        <w:numPr>
          <w:ilvl w:val="0"/>
          <w:numId w:val="0"/>
        </w:numPr>
        <w:rPr>
          <w:rFonts w:eastAsia="宋体" w:hint="eastAsia"/>
          <w:lang w:eastAsia="zh-CN"/>
        </w:rPr>
      </w:pPr>
      <w:r>
        <w:t>References</w:t>
      </w:r>
    </w:p>
    <w:p w:rsidR="00C53757" w:rsidRPr="007F5CE9" w:rsidRDefault="0035262B" w:rsidP="00F71A33">
      <w:pPr>
        <w:rPr>
          <w:lang w:val="en-US"/>
        </w:rPr>
      </w:pPr>
      <w:r>
        <w:rPr>
          <w:rFonts w:hint="eastAsia"/>
        </w:rPr>
        <w:t>[1]</w:t>
      </w:r>
      <w:r w:rsidR="00E71995">
        <w:t xml:space="preserve"> </w:t>
      </w:r>
      <w:r w:rsidR="007F5CE9" w:rsidRPr="007F5CE9">
        <w:t>R4-2009168</w:t>
      </w:r>
      <w:r w:rsidR="007F5CE9">
        <w:t>,</w:t>
      </w:r>
      <w:r w:rsidR="007F5CE9" w:rsidRPr="007F5CE9">
        <w:t xml:space="preserve"> WF on remaining TS38.101-1 and TS38.101-3 for NR V2X</w:t>
      </w:r>
      <w:r w:rsidR="007F5CE9">
        <w:t xml:space="preserve">, </w:t>
      </w:r>
      <w:r w:rsidR="007F5CE9" w:rsidRPr="007F5CE9">
        <w:rPr>
          <w:lang w:val="en-US"/>
        </w:rPr>
        <w:t>LG Electronics, Huawei, HiSilicon, CATT</w:t>
      </w:r>
    </w:p>
    <w:p w:rsidR="00D73EEA" w:rsidRDefault="00D73EEA" w:rsidP="00F71A33">
      <w:pPr>
        <w:rPr>
          <w:lang w:val="en-US"/>
        </w:rPr>
      </w:pPr>
      <w:r>
        <w:rPr>
          <w:lang w:val="en-US"/>
        </w:rPr>
        <w:t xml:space="preserve">[2] </w:t>
      </w:r>
      <w:r w:rsidR="007F5CE9" w:rsidRPr="007F5CE9">
        <w:rPr>
          <w:lang w:val="en-US"/>
        </w:rPr>
        <w:t>R4-2008451</w:t>
      </w:r>
      <w:r w:rsidR="007F5CE9">
        <w:rPr>
          <w:lang w:val="en-US"/>
        </w:rPr>
        <w:t>,</w:t>
      </w:r>
      <w:r w:rsidR="007F5CE9" w:rsidRPr="007F5CE9">
        <w:rPr>
          <w:lang w:val="en-US"/>
        </w:rPr>
        <w:t xml:space="preserve"> WF on con-current operation remaining issues</w:t>
      </w:r>
      <w:r w:rsidR="007F5CE9">
        <w:rPr>
          <w:rFonts w:hint="eastAsia"/>
          <w:lang w:val="en-US"/>
        </w:rPr>
        <w:t>,</w:t>
      </w:r>
      <w:r w:rsidR="007F5CE9">
        <w:rPr>
          <w:lang w:val="en-US"/>
        </w:rPr>
        <w:t xml:space="preserve"> Huawei, HiSilicon</w:t>
      </w:r>
    </w:p>
    <w:p w:rsidR="00A92E20" w:rsidRPr="00A26D1F" w:rsidRDefault="00A92E20" w:rsidP="00F71A33">
      <w:pPr>
        <w:rPr>
          <w:rFonts w:hint="eastAsia"/>
          <w:lang w:val="en-US"/>
        </w:rPr>
      </w:pPr>
      <w:r>
        <w:rPr>
          <w:lang w:val="en-US"/>
        </w:rPr>
        <w:t xml:space="preserve">[3] </w:t>
      </w:r>
      <w:r w:rsidR="000F5959" w:rsidRPr="00E51339">
        <w:t>R4-2008219</w:t>
      </w:r>
      <w:r w:rsidR="000F5959">
        <w:t xml:space="preserve">, </w:t>
      </w:r>
      <w:proofErr w:type="gramStart"/>
      <w:r w:rsidR="000F5959" w:rsidRPr="000F5959">
        <w:t>On</w:t>
      </w:r>
      <w:proofErr w:type="gramEnd"/>
      <w:r w:rsidR="000F5959" w:rsidRPr="000F5959">
        <w:t xml:space="preserve"> switching period for LTE SL and NR SL</w:t>
      </w:r>
      <w:r w:rsidR="000F5959">
        <w:t>, Huawei, HiSilicon</w:t>
      </w:r>
    </w:p>
    <w:sectPr w:rsidR="00A92E20" w:rsidRPr="00A26D1F"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0C7D" w:rsidRDefault="00B90C7D" w:rsidP="0052762B">
      <w:r>
        <w:separator/>
      </w:r>
    </w:p>
  </w:endnote>
  <w:endnote w:type="continuationSeparator" w:id="0">
    <w:p w:rsidR="00B90C7D" w:rsidRDefault="00B90C7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0C7D" w:rsidRDefault="00B90C7D" w:rsidP="0052762B">
      <w:r>
        <w:separator/>
      </w:r>
    </w:p>
  </w:footnote>
  <w:footnote w:type="continuationSeparator" w:id="0">
    <w:p w:rsidR="00B90C7D" w:rsidRDefault="00B90C7D"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2A24BC6"/>
    <w:multiLevelType w:val="hybridMultilevel"/>
    <w:tmpl w:val="818C6030"/>
    <w:lvl w:ilvl="0" w:tplc="8F1480CE">
      <w:start w:val="1"/>
      <w:numFmt w:val="bullet"/>
      <w:lvlText w:val="⁻"/>
      <w:lvlJc w:val="left"/>
      <w:pPr>
        <w:tabs>
          <w:tab w:val="num" w:pos="644"/>
        </w:tabs>
        <w:ind w:left="644" w:hanging="360"/>
      </w:pPr>
      <w:rPr>
        <w:rFonts w:ascii="Calibri" w:hAnsi="Calibri" w:hint="default"/>
      </w:rPr>
    </w:lvl>
    <w:lvl w:ilvl="1" w:tplc="BFD614C6">
      <w:start w:val="1"/>
      <w:numFmt w:val="bullet"/>
      <w:lvlText w:val="⁻"/>
      <w:lvlJc w:val="left"/>
      <w:pPr>
        <w:tabs>
          <w:tab w:val="num" w:pos="1364"/>
        </w:tabs>
        <w:ind w:left="1364" w:hanging="360"/>
      </w:pPr>
      <w:rPr>
        <w:rFonts w:ascii="Calibri" w:hAnsi="Calibri" w:hint="default"/>
      </w:rPr>
    </w:lvl>
    <w:lvl w:ilvl="2" w:tplc="45D69C1C" w:tentative="1">
      <w:start w:val="1"/>
      <w:numFmt w:val="bullet"/>
      <w:lvlText w:val="⁻"/>
      <w:lvlJc w:val="left"/>
      <w:pPr>
        <w:tabs>
          <w:tab w:val="num" w:pos="2084"/>
        </w:tabs>
        <w:ind w:left="2084" w:hanging="360"/>
      </w:pPr>
      <w:rPr>
        <w:rFonts w:ascii="Calibri" w:hAnsi="Calibri" w:hint="default"/>
      </w:rPr>
    </w:lvl>
    <w:lvl w:ilvl="3" w:tplc="5CFA4B60" w:tentative="1">
      <w:start w:val="1"/>
      <w:numFmt w:val="bullet"/>
      <w:lvlText w:val="⁻"/>
      <w:lvlJc w:val="left"/>
      <w:pPr>
        <w:tabs>
          <w:tab w:val="num" w:pos="2804"/>
        </w:tabs>
        <w:ind w:left="2804" w:hanging="360"/>
      </w:pPr>
      <w:rPr>
        <w:rFonts w:ascii="Calibri" w:hAnsi="Calibri" w:hint="default"/>
      </w:rPr>
    </w:lvl>
    <w:lvl w:ilvl="4" w:tplc="FD985C5E" w:tentative="1">
      <w:start w:val="1"/>
      <w:numFmt w:val="bullet"/>
      <w:lvlText w:val="⁻"/>
      <w:lvlJc w:val="left"/>
      <w:pPr>
        <w:tabs>
          <w:tab w:val="num" w:pos="3524"/>
        </w:tabs>
        <w:ind w:left="3524" w:hanging="360"/>
      </w:pPr>
      <w:rPr>
        <w:rFonts w:ascii="Calibri" w:hAnsi="Calibri" w:hint="default"/>
      </w:rPr>
    </w:lvl>
    <w:lvl w:ilvl="5" w:tplc="119C0232" w:tentative="1">
      <w:start w:val="1"/>
      <w:numFmt w:val="bullet"/>
      <w:lvlText w:val="⁻"/>
      <w:lvlJc w:val="left"/>
      <w:pPr>
        <w:tabs>
          <w:tab w:val="num" w:pos="4244"/>
        </w:tabs>
        <w:ind w:left="4244" w:hanging="360"/>
      </w:pPr>
      <w:rPr>
        <w:rFonts w:ascii="Calibri" w:hAnsi="Calibri" w:hint="default"/>
      </w:rPr>
    </w:lvl>
    <w:lvl w:ilvl="6" w:tplc="A9A8FDC4" w:tentative="1">
      <w:start w:val="1"/>
      <w:numFmt w:val="bullet"/>
      <w:lvlText w:val="⁻"/>
      <w:lvlJc w:val="left"/>
      <w:pPr>
        <w:tabs>
          <w:tab w:val="num" w:pos="4964"/>
        </w:tabs>
        <w:ind w:left="4964" w:hanging="360"/>
      </w:pPr>
      <w:rPr>
        <w:rFonts w:ascii="Calibri" w:hAnsi="Calibri" w:hint="default"/>
      </w:rPr>
    </w:lvl>
    <w:lvl w:ilvl="7" w:tplc="FC1A2D68" w:tentative="1">
      <w:start w:val="1"/>
      <w:numFmt w:val="bullet"/>
      <w:lvlText w:val="⁻"/>
      <w:lvlJc w:val="left"/>
      <w:pPr>
        <w:tabs>
          <w:tab w:val="num" w:pos="5684"/>
        </w:tabs>
        <w:ind w:left="5684" w:hanging="360"/>
      </w:pPr>
      <w:rPr>
        <w:rFonts w:ascii="Calibri" w:hAnsi="Calibri" w:hint="default"/>
      </w:rPr>
    </w:lvl>
    <w:lvl w:ilvl="8" w:tplc="4B3EE98A" w:tentative="1">
      <w:start w:val="1"/>
      <w:numFmt w:val="bullet"/>
      <w:lvlText w:val="⁻"/>
      <w:lvlJc w:val="left"/>
      <w:pPr>
        <w:tabs>
          <w:tab w:val="num" w:pos="6404"/>
        </w:tabs>
        <w:ind w:left="6404" w:hanging="360"/>
      </w:pPr>
      <w:rPr>
        <w:rFonts w:ascii="Calibri" w:hAnsi="Calibri"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5"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1"/>
  </w:num>
  <w:num w:numId="3">
    <w:abstractNumId w:val="26"/>
  </w:num>
  <w:num w:numId="4">
    <w:abstractNumId w:val="37"/>
  </w:num>
  <w:num w:numId="5">
    <w:abstractNumId w:val="1"/>
  </w:num>
  <w:num w:numId="6">
    <w:abstractNumId w:val="36"/>
  </w:num>
  <w:num w:numId="7">
    <w:abstractNumId w:val="17"/>
  </w:num>
  <w:num w:numId="8">
    <w:abstractNumId w:val="29"/>
  </w:num>
  <w:num w:numId="9">
    <w:abstractNumId w:val="40"/>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5"/>
  </w:num>
  <w:num w:numId="20">
    <w:abstractNumId w:val="23"/>
  </w:num>
  <w:num w:numId="21">
    <w:abstractNumId w:val="14"/>
  </w:num>
  <w:num w:numId="22">
    <w:abstractNumId w:val="5"/>
  </w:num>
  <w:num w:numId="23">
    <w:abstractNumId w:val="22"/>
  </w:num>
  <w:num w:numId="24">
    <w:abstractNumId w:val="35"/>
  </w:num>
  <w:num w:numId="25">
    <w:abstractNumId w:val="8"/>
  </w:num>
  <w:num w:numId="26">
    <w:abstractNumId w:val="34"/>
  </w:num>
  <w:num w:numId="27">
    <w:abstractNumId w:val="33"/>
  </w:num>
  <w:num w:numId="28">
    <w:abstractNumId w:val="18"/>
  </w:num>
  <w:num w:numId="29">
    <w:abstractNumId w:val="39"/>
  </w:num>
  <w:num w:numId="30">
    <w:abstractNumId w:val="27"/>
  </w:num>
  <w:num w:numId="31">
    <w:abstractNumId w:val="16"/>
  </w:num>
  <w:num w:numId="32">
    <w:abstractNumId w:val="30"/>
  </w:num>
  <w:num w:numId="33">
    <w:abstractNumId w:val="6"/>
  </w:num>
  <w:num w:numId="34">
    <w:abstractNumId w:val="9"/>
  </w:num>
  <w:num w:numId="35">
    <w:abstractNumId w:val="32"/>
  </w:num>
  <w:num w:numId="36">
    <w:abstractNumId w:val="19"/>
  </w:num>
  <w:num w:numId="37">
    <w:abstractNumId w:val="7"/>
  </w:num>
  <w:num w:numId="38">
    <w:abstractNumId w:val="28"/>
  </w:num>
  <w:num w:numId="39">
    <w:abstractNumId w:val="3"/>
  </w:num>
  <w:num w:numId="40">
    <w:abstractNumId w:val="24"/>
  </w:num>
  <w:num w:numId="41">
    <w:abstractNumId w:val="15"/>
  </w:num>
  <w:num w:numId="42">
    <w:abstractNumId w:val="13"/>
  </w:num>
  <w:num w:numId="43">
    <w:abstractNumId w:val="38"/>
  </w:num>
  <w:num w:numId="44">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959"/>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5A97"/>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07A"/>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386"/>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77B"/>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5728"/>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5CE9"/>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672"/>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2E20"/>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0691"/>
    <w:rsid w:val="00B90C7D"/>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3CB"/>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5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48D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57"/>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33D3A7B-E3C7-4035-8B63-4B5BE9D5B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aliases w:val=" Zchn Zchn Char Char"/>
    <w:semiHidden/>
    <w:rsid w:val="009B426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9B4262"/>
  </w:style>
  <w:style w:type="character" w:customStyle="1" w:styleId="Heading1Char1">
    <w:name w:val="Heading 1 Char1"/>
    <w:aliases w:val="Char Char1,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 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 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 (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 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 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 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 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 (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 (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 (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 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 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 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 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 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 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 (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 (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 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 (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0">
    <w:name w:val="toc 9"/>
    <w:basedOn w:val="TOC8"/>
    <w:rsid w:val="00755136"/>
    <w:pPr>
      <w:keepNext/>
      <w:ind w:left="1418" w:hanging="1418"/>
    </w:pPr>
    <w:rPr>
      <w:rFonts w:eastAsia="MS Mincho"/>
      <w:lang w:eastAsia="en-GB"/>
    </w:rPr>
  </w:style>
  <w:style w:type="paragraph" w:customStyle="1" w:styleId="caption0">
    <w:name w:val="caption"/>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0">
    <w:name w:val="table of figures"/>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 Char Char7"/>
    <w:semiHidden/>
    <w:rsid w:val="00755136"/>
    <w:rPr>
      <w:rFonts w:ascii="Tahoma" w:hAnsi="Tahoma" w:cs="Tahoma"/>
      <w:shd w:val="clear" w:color="auto" w:fill="000080"/>
      <w:lang w:val="en-GB" w:eastAsia="en-US"/>
    </w:rPr>
  </w:style>
  <w:style w:type="character" w:customStyle="1" w:styleId="ZchnZchn5">
    <w:name w:val=" Zchn Zchn5"/>
    <w:rsid w:val="00755136"/>
    <w:rPr>
      <w:rFonts w:ascii="Courier New" w:eastAsia="Batang" w:hAnsi="Courier New"/>
      <w:lang w:val="nb-NO" w:eastAsia="en-US" w:bidi="ar-SA"/>
    </w:rPr>
  </w:style>
  <w:style w:type="character" w:customStyle="1" w:styleId="CharChar10">
    <w:name w:val=" Char Char10"/>
    <w:semiHidden/>
    <w:rsid w:val="00755136"/>
    <w:rPr>
      <w:rFonts w:ascii="Times New Roman" w:hAnsi="Times New Roman"/>
      <w:lang w:val="en-GB" w:eastAsia="en-US"/>
    </w:rPr>
  </w:style>
  <w:style w:type="character" w:customStyle="1" w:styleId="CharChar9">
    <w:name w:val=" Char Char9"/>
    <w:semiHidden/>
    <w:rsid w:val="00755136"/>
    <w:rPr>
      <w:rFonts w:ascii="Tahoma" w:hAnsi="Tahoma" w:cs="Tahoma"/>
      <w:sz w:val="16"/>
      <w:szCs w:val="16"/>
      <w:lang w:val="en-GB" w:eastAsia="en-US"/>
    </w:rPr>
  </w:style>
  <w:style w:type="character" w:customStyle="1" w:styleId="CharChar8">
    <w:name w:val=" 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 (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 Char Char29"/>
    <w:rsid w:val="00755136"/>
    <w:rPr>
      <w:rFonts w:ascii="Arial" w:hAnsi="Arial"/>
      <w:sz w:val="36"/>
      <w:lang w:val="en-GB" w:eastAsia="en-US" w:bidi="ar-SA"/>
    </w:rPr>
  </w:style>
  <w:style w:type="character" w:customStyle="1" w:styleId="CharChar28">
    <w:name w:val=" 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2334234">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81555621">
      <w:bodyDiv w:val="1"/>
      <w:marLeft w:val="0"/>
      <w:marRight w:val="0"/>
      <w:marTop w:val="0"/>
      <w:marBottom w:val="0"/>
      <w:divBdr>
        <w:top w:val="none" w:sz="0" w:space="0" w:color="auto"/>
        <w:left w:val="none" w:sz="0" w:space="0" w:color="auto"/>
        <w:bottom w:val="none" w:sz="0" w:space="0" w:color="auto"/>
        <w:right w:val="none" w:sz="0" w:space="0" w:color="auto"/>
      </w:divBdr>
      <w:divsChild>
        <w:div w:id="43723579">
          <w:marLeft w:val="1080"/>
          <w:marRight w:val="0"/>
          <w:marTop w:val="100"/>
          <w:marBottom w:val="0"/>
          <w:divBdr>
            <w:top w:val="none" w:sz="0" w:space="0" w:color="auto"/>
            <w:left w:val="none" w:sz="0" w:space="0" w:color="auto"/>
            <w:bottom w:val="none" w:sz="0" w:space="0" w:color="auto"/>
            <w:right w:val="none" w:sz="0" w:space="0" w:color="auto"/>
          </w:divBdr>
        </w:div>
        <w:div w:id="941452748">
          <w:marLeft w:val="1080"/>
          <w:marRight w:val="0"/>
          <w:marTop w:val="100"/>
          <w:marBottom w:val="0"/>
          <w:divBdr>
            <w:top w:val="none" w:sz="0" w:space="0" w:color="auto"/>
            <w:left w:val="none" w:sz="0" w:space="0" w:color="auto"/>
            <w:bottom w:val="none" w:sz="0" w:space="0" w:color="auto"/>
            <w:right w:val="none" w:sz="0" w:space="0" w:color="auto"/>
          </w:divBdr>
        </w:div>
        <w:div w:id="1321346232">
          <w:marLeft w:val="1080"/>
          <w:marRight w:val="0"/>
          <w:marTop w:val="100"/>
          <w:marBottom w:val="0"/>
          <w:divBdr>
            <w:top w:val="none" w:sz="0" w:space="0" w:color="auto"/>
            <w:left w:val="none" w:sz="0" w:space="0" w:color="auto"/>
            <w:bottom w:val="none" w:sz="0" w:space="0" w:color="auto"/>
            <w:right w:val="none" w:sz="0" w:space="0" w:color="auto"/>
          </w:divBdr>
        </w:div>
        <w:div w:id="1355963301">
          <w:marLeft w:val="1080"/>
          <w:marRight w:val="0"/>
          <w:marTop w:val="100"/>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E5B4B-B3D7-4762-9849-45776F06F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832</Words>
  <Characters>4749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5570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3</cp:revision>
  <cp:lastPrinted>2010-01-07T02:23:00Z</cp:lastPrinted>
  <dcterms:created xsi:type="dcterms:W3CDTF">2020-08-07T21:20:00Z</dcterms:created>
  <dcterms:modified xsi:type="dcterms:W3CDTF">2020-08-07T21:20:00Z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(3)/Ny1ZQomSXEr/7K3mectKVusqiuhHNbJmI86mW4wMeE8bEgIhQx0Hh8NFikEAs6AS8uHVUNj
qIDfVd5I7X/jHatcWwJuJCJdkDUolZ62szBE1ZjUWXfissycuE8gttfA+d8w0WngXHBxOmJF
TsPLERJW5D6Xsxg1h+f1O9pn9sD30fUB/5EE8yL11pllgx3KCRWBMhi0yN1esAZ2kJBnwe1I
HSS8Mr/uojN8I6O1ub</vt:lpwstr>
  </property>
  <property fmtid="{D5CDD505-2E9C-101B-9397-08002B2CF9AE}" pid="15" name="_2015_ms_pID_725343_00">
    <vt:lpwstr>_2015_ms_pID_725343</vt:lpwstr>
  </property>
  <property fmtid="{D5CDD505-2E9C-101B-9397-08002B2CF9AE}" pid="16" name="_2015_ms_pID_7253431">
    <vt:lpwstr>kaQHYXimlfMrtvJ5+ZgQabMxvJfWmwVUYznYF/2vsCn3oU6pmEWpiK
vT6R0zuqU9J2JhRImC4IJmKBsI8bzHKNRrOdQc9zXF2k/xnT1URRlSPa6bGHM053w2dnQBPE
YmhLfgGGBTZz0GUjlHWjm6seKNbGDlCZGcesBr45PNz0+QcR7DFQENseT4bi3kPISbm09HUk
3KkVmBU6nNt+vblkhA0u3PWKe64xqjZ1hYGV</vt:lpwstr>
  </property>
  <property fmtid="{D5CDD505-2E9C-101B-9397-08002B2CF9AE}" pid="17" name="_2015_ms_pID_7253431_00">
    <vt:lpwstr>_2015_ms_pID_7253431</vt:lpwstr>
  </property>
  <property fmtid="{D5CDD505-2E9C-101B-9397-08002B2CF9AE}" pid="18" name="_2015_ms_pID_7253432">
    <vt:lpwstr>Cn6kC0P3MyIqB9EzfRHTj6k=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